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color w:val="111111"/>
          <w:sz w:val="24"/>
          <w:szCs w:val="24"/>
          <w:shd w:val="clear" w:color="auto" w:fill="ffffff"/>
        </w:rPr>
      </w:pPr>
    </w:p>
    <w:p>
      <w:pPr>
        <w:pStyle w:val="style0"/>
        <w:spacing w:lineRule="auto" w:line="480"/>
        <w:rPr>
          <w:rFonts w:ascii="Times New Roman" w:cs="Times New Roman" w:hAnsi="Times New Roman"/>
          <w:color w:val="111111"/>
          <w:sz w:val="24"/>
          <w:szCs w:val="24"/>
          <w:shd w:val="clear" w:color="auto" w:fill="ffffff"/>
        </w:rPr>
      </w:pPr>
    </w:p>
    <w:p>
      <w:pPr>
        <w:pStyle w:val="style0"/>
        <w:spacing w:lineRule="auto" w:line="480"/>
        <w:rPr>
          <w:rFonts w:ascii="Times New Roman" w:cs="Times New Roman" w:hAnsi="Times New Roman"/>
          <w:color w:val="111111"/>
          <w:sz w:val="24"/>
          <w:szCs w:val="24"/>
          <w:shd w:val="clear" w:color="auto" w:fill="ffffff"/>
        </w:rPr>
      </w:pPr>
    </w:p>
    <w:p>
      <w:pPr>
        <w:pStyle w:val="style0"/>
        <w:spacing w:lineRule="auto" w:line="480"/>
        <w:jc w:val="center"/>
        <w:rPr>
          <w:rFonts w:ascii="Times New Roman" w:cs="Times New Roman" w:hAnsi="Times New Roman"/>
          <w:color w:val="111111"/>
          <w:sz w:val="24"/>
          <w:szCs w:val="24"/>
          <w:shd w:val="clear" w:color="auto" w:fill="ffffff"/>
        </w:rPr>
      </w:pPr>
      <w:r>
        <w:rPr>
          <w:rFonts w:ascii="Times New Roman" w:cs="Times New Roman" w:hAnsi="Times New Roman"/>
          <w:color w:val="111111"/>
          <w:sz w:val="24"/>
          <w:szCs w:val="24"/>
          <w:shd w:val="clear" w:color="auto" w:fill="ffffff"/>
        </w:rPr>
        <w:t>Preeclampsia</w:t>
      </w:r>
    </w:p>
    <w:p>
      <w:pPr>
        <w:pStyle w:val="style0"/>
        <w:spacing w:lineRule="auto" w:line="480"/>
        <w:jc w:val="center"/>
        <w:rPr>
          <w:rFonts w:ascii="Times New Roman" w:cs="Times New Roman" w:hAnsi="Times New Roman"/>
          <w:color w:val="111111"/>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Professor:</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Preeclampsia</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Reflect on ethical dilemmas uncovered during scenario watching or debriefing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A pregnant mother complained of severe headaches, abdominal pain, and blurred vision. The diagnosis revealed that she suffered severe preeclampsia. Also, medical examination proved that her pregnancy was eight months old, and the life of the baby could have been at risk if the mother suffered HBP till delivery or managed her condition with drugs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Mohammadi</w:t>
      </w:r>
      <w:r>
        <w:rPr>
          <w:rFonts w:ascii="Times New Roman" w:cs="Times New Roman" w:hAnsi="Times New Roman"/>
          <w:color w:val="222222"/>
          <w:sz w:val="24"/>
          <w:szCs w:val="24"/>
          <w:shd w:val="clear" w:color="auto" w:fill="ffffff"/>
        </w:rPr>
        <w:t xml:space="preserve"> et al. 2019)</w:t>
      </w:r>
      <w:r>
        <w:rPr>
          <w:rFonts w:ascii="Times New Roman" w:cs="Times New Roman" w:eastAsia="Times New Roman" w:hAnsi="Times New Roman"/>
          <w:color w:val="0e101a"/>
          <w:sz w:val="24"/>
          <w:szCs w:val="24"/>
        </w:rPr>
        <w:t xml:space="preserve">. The senior obstetrician recommended the baby to undergo cesarean birth, but the patients did not give consent. I gave her one-hour counseling, after which she left determined to manage her condition. The following day, the patient was rushed in by a group of relatives; her situation was worse, and there was a need for quick medical intervention.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senior obstetrician discussed the need for early birth through cesarean to save the child and the baby’s life. The operation was a success, but the mother’s health condition was still a huge medical concern. The baby was put in an incubator facility for one month</w:t>
      </w:r>
      <w:r>
        <w:rPr>
          <w:rFonts w:ascii="Times New Roman" w:cs="Times New Roman" w:eastAsia="Times New Roman" w:hAnsi="Times New Roman"/>
          <w:color w:val="0e101a"/>
          <w:sz w:val="24"/>
          <w:szCs w:val="24"/>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Mohammadi</w:t>
      </w:r>
      <w:r>
        <w:rPr>
          <w:rFonts w:ascii="Times New Roman" w:cs="Times New Roman" w:hAnsi="Times New Roman"/>
          <w:color w:val="222222"/>
          <w:sz w:val="24"/>
          <w:szCs w:val="24"/>
          <w:shd w:val="clear" w:color="auto" w:fill="ffffff"/>
        </w:rPr>
        <w:t xml:space="preserve"> et al. 2019)</w:t>
      </w:r>
      <w:r>
        <w:rPr>
          <w:rFonts w:ascii="Times New Roman" w:cs="Times New Roman" w:eastAsia="Times New Roman" w:hAnsi="Times New Roman"/>
          <w:color w:val="0e101a"/>
          <w:sz w:val="24"/>
          <w:szCs w:val="24"/>
        </w:rPr>
        <w:t>. I was tasked with regular blood pressure checkups of the patient, and when she gained consciousness, I could counsel her. She started recovering gradually, and she now could take care of her child. </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Describe an “Aha” moment experienced during the simulation</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After providing care to the patient for two months, she recovered for preeclampsia and could now take care of her child and herself. The client was happy and thanked the senior obstetrician and me for saving her life. I realized that medical practitioners should invest their time and professional skills in taking care of their patients. Saving lives is a sacred act, and it rewards a medical practitioner with never-ending happiness. Whenever there is an ethical dilemma in treatment intervention, it is always good to consult with the patients, relatives, and </w:t>
      </w:r>
      <w:r>
        <w:rPr>
          <w:rFonts w:ascii="Times New Roman" w:cs="Times New Roman" w:eastAsia="Times New Roman" w:hAnsi="Times New Roman"/>
          <w:color w:val="0e101a"/>
          <w:sz w:val="24"/>
          <w:szCs w:val="24"/>
        </w:rPr>
        <w:t>other medical practitioners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Aouache</w:t>
      </w:r>
      <w:r>
        <w:rPr>
          <w:rFonts w:ascii="Times New Roman" w:cs="Times New Roman" w:hAnsi="Times New Roman"/>
          <w:color w:val="222222"/>
          <w:sz w:val="24"/>
          <w:szCs w:val="24"/>
          <w:shd w:val="clear" w:color="auto" w:fill="ffffff"/>
        </w:rPr>
        <w:t xml:space="preserve"> et al., 2018)</w:t>
      </w:r>
      <w:r>
        <w:rPr>
          <w:rFonts w:ascii="Times New Roman" w:cs="Times New Roman" w:eastAsia="Times New Roman" w:hAnsi="Times New Roman"/>
          <w:color w:val="0e101a"/>
          <w:sz w:val="24"/>
          <w:szCs w:val="24"/>
        </w:rPr>
        <w:t>. Sometimes self-management skills enable a person to choose to do what is right. Patients depend upon the care provided by medical practitioners for their wellbeing, and therefore, quality care should be administered to any patient.</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What are some of the aspects of the client’s case you didn’t feel prepared for?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In the beginning, I thought the severe migraine, nausea, and abdominal pain that the pregnant mother suffered were the normal complications that any pregnant woman suffers. However, the patient’s HBP caused a severe preeclampsia condition which could interfere with her pregnancy. Also, after counseling was done to the patient, I was convinced she would manage her condition. I was caught unaware the following day when the patient was admitted, and cesarean birth was signed, despite her being adamant the previous day</w:t>
      </w:r>
      <w:r>
        <w:rPr>
          <w:rFonts w:ascii="Times New Roman" w:cs="Times New Roman" w:eastAsia="Times New Roman" w:hAnsi="Times New Roman"/>
          <w:color w:val="0e101a"/>
          <w:sz w:val="24"/>
          <w:szCs w:val="24"/>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Aouache</w:t>
      </w:r>
      <w:r>
        <w:rPr>
          <w:rFonts w:ascii="Times New Roman" w:cs="Times New Roman" w:hAnsi="Times New Roman"/>
          <w:color w:val="222222"/>
          <w:sz w:val="24"/>
          <w:szCs w:val="24"/>
          <w:shd w:val="clear" w:color="auto" w:fill="ffffff"/>
        </w:rPr>
        <w:t xml:space="preserve"> et al., 2018)</w:t>
      </w:r>
      <w:r>
        <w:rPr>
          <w:rFonts w:ascii="Times New Roman" w:cs="Times New Roman" w:eastAsia="Times New Roman" w:hAnsi="Times New Roman"/>
          <w:color w:val="0e101a"/>
          <w:sz w:val="24"/>
          <w:szCs w:val="24"/>
        </w:rPr>
        <w:t>. It was my first day to take care of a patient with severe HBP, and therefore, I learned a lot through the care I offered the patient and her baby. </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Do you have any other suggestions on what you would like to implement for the patient’s care?</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 recommend that the patient and her child to continue to seek medical care. For instance, the treatment of the patient’s preeclampsia condition will be a success if she attends regular blood pressure tests. The baby also needs to attend checkups to determine whether it was exposed to biological risk during the prenatal stage. Lastly, the baby should always get balanced diets. </w:t>
      </w: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851"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Aouache</w:t>
      </w:r>
      <w:r>
        <w:rPr>
          <w:rFonts w:ascii="Times New Roman" w:cs="Times New Roman" w:hAnsi="Times New Roman"/>
          <w:color w:val="222222"/>
          <w:sz w:val="24"/>
          <w:szCs w:val="24"/>
          <w:shd w:val="clear" w:color="auto" w:fill="ffffff"/>
        </w:rPr>
        <w:t xml:space="preserve">, R., </w:t>
      </w:r>
      <w:r>
        <w:rPr>
          <w:rFonts w:ascii="Times New Roman" w:cs="Times New Roman" w:hAnsi="Times New Roman"/>
          <w:color w:val="222222"/>
          <w:sz w:val="24"/>
          <w:szCs w:val="24"/>
          <w:shd w:val="clear" w:color="auto" w:fill="ffffff"/>
        </w:rPr>
        <w:t>Biquard</w:t>
      </w:r>
      <w:r>
        <w:rPr>
          <w:rFonts w:ascii="Times New Roman" w:cs="Times New Roman" w:hAnsi="Times New Roman"/>
          <w:color w:val="222222"/>
          <w:sz w:val="24"/>
          <w:szCs w:val="24"/>
          <w:shd w:val="clear" w:color="auto" w:fill="ffffff"/>
        </w:rPr>
        <w:t xml:space="preserve">, L., </w:t>
      </w:r>
      <w:r>
        <w:rPr>
          <w:rFonts w:ascii="Times New Roman" w:cs="Times New Roman" w:hAnsi="Times New Roman"/>
          <w:color w:val="222222"/>
          <w:sz w:val="24"/>
          <w:szCs w:val="24"/>
          <w:shd w:val="clear" w:color="auto" w:fill="ffffff"/>
        </w:rPr>
        <w:t>Vaiman</w:t>
      </w:r>
      <w:r>
        <w:rPr>
          <w:rFonts w:ascii="Times New Roman" w:cs="Times New Roman" w:hAnsi="Times New Roman"/>
          <w:color w:val="222222"/>
          <w:sz w:val="24"/>
          <w:szCs w:val="24"/>
          <w:shd w:val="clear" w:color="auto" w:fill="ffffff"/>
        </w:rPr>
        <w:t xml:space="preserve">, D., &amp; </w:t>
      </w:r>
      <w:r>
        <w:rPr>
          <w:rFonts w:ascii="Times New Roman" w:cs="Times New Roman" w:hAnsi="Times New Roman"/>
          <w:color w:val="222222"/>
          <w:sz w:val="24"/>
          <w:szCs w:val="24"/>
          <w:shd w:val="clear" w:color="auto" w:fill="ffffff"/>
        </w:rPr>
        <w:t>Miralles</w:t>
      </w:r>
      <w:r>
        <w:rPr>
          <w:rFonts w:ascii="Times New Roman" w:cs="Times New Roman" w:hAnsi="Times New Roman"/>
          <w:color w:val="222222"/>
          <w:sz w:val="24"/>
          <w:szCs w:val="24"/>
          <w:shd w:val="clear" w:color="auto" w:fill="ffffff"/>
        </w:rPr>
        <w:t>, F. (2018). Oxidative stress in preeclampsia and placental diseases. </w:t>
      </w:r>
      <w:r>
        <w:rPr>
          <w:rFonts w:ascii="Times New Roman" w:cs="Times New Roman" w:hAnsi="Times New Roman"/>
          <w:i/>
          <w:iCs/>
          <w:color w:val="222222"/>
          <w:sz w:val="24"/>
          <w:szCs w:val="24"/>
          <w:shd w:val="clear" w:color="auto" w:fill="ffffff"/>
        </w:rPr>
        <w:t>International journal of molecular sciences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19</w:t>
      </w:r>
      <w:r>
        <w:rPr>
          <w:rFonts w:ascii="Times New Roman" w:cs="Times New Roman" w:hAnsi="Times New Roman"/>
          <w:color w:val="222222"/>
          <w:sz w:val="24"/>
          <w:szCs w:val="24"/>
          <w:shd w:val="clear" w:color="auto" w:fill="ffffff"/>
        </w:rPr>
        <w:t>(5), 1496.</w:t>
      </w:r>
    </w:p>
    <w:p>
      <w:pPr>
        <w:pStyle w:val="style0"/>
        <w:spacing w:after="0" w:lineRule="auto" w:line="480"/>
        <w:ind w:left="851" w:hanging="851"/>
        <w:rPr>
          <w:rFonts w:ascii="Times New Roman" w:cs="Times New Roman" w:hAnsi="Times New Roman"/>
          <w:sz w:val="24"/>
          <w:szCs w:val="24"/>
        </w:rPr>
      </w:pPr>
      <w:r>
        <w:rPr>
          <w:rFonts w:ascii="Times New Roman" w:cs="Times New Roman" w:hAnsi="Times New Roman"/>
          <w:color w:val="222222"/>
          <w:sz w:val="24"/>
          <w:szCs w:val="24"/>
          <w:shd w:val="clear" w:color="auto" w:fill="ffffff"/>
        </w:rPr>
        <w:t>Mohammadi</w:t>
      </w:r>
      <w:r>
        <w:rPr>
          <w:rFonts w:ascii="Times New Roman" w:cs="Times New Roman" w:hAnsi="Times New Roman"/>
          <w:color w:val="222222"/>
          <w:sz w:val="24"/>
          <w:szCs w:val="24"/>
          <w:shd w:val="clear" w:color="auto" w:fill="ffffff"/>
        </w:rPr>
        <w:t xml:space="preserve">, M., </w:t>
      </w:r>
      <w:r>
        <w:rPr>
          <w:rFonts w:ascii="Times New Roman" w:cs="Times New Roman" w:hAnsi="Times New Roman"/>
          <w:color w:val="222222"/>
          <w:sz w:val="24"/>
          <w:szCs w:val="24"/>
          <w:shd w:val="clear" w:color="auto" w:fill="ffffff"/>
        </w:rPr>
        <w:t>Maroufizadeh</w:t>
      </w:r>
      <w:r>
        <w:rPr>
          <w:rFonts w:ascii="Times New Roman" w:cs="Times New Roman" w:hAnsi="Times New Roman"/>
          <w:color w:val="222222"/>
          <w:sz w:val="24"/>
          <w:szCs w:val="24"/>
          <w:shd w:val="clear" w:color="auto" w:fill="ffffff"/>
        </w:rPr>
        <w:t>, S., Omani-</w:t>
      </w:r>
      <w:r>
        <w:rPr>
          <w:rFonts w:ascii="Times New Roman" w:cs="Times New Roman" w:hAnsi="Times New Roman"/>
          <w:color w:val="222222"/>
          <w:sz w:val="24"/>
          <w:szCs w:val="24"/>
          <w:shd w:val="clear" w:color="auto" w:fill="ffffff"/>
        </w:rPr>
        <w:t>Samani</w:t>
      </w:r>
      <w:r>
        <w:rPr>
          <w:rFonts w:ascii="Times New Roman" w:cs="Times New Roman" w:hAnsi="Times New Roman"/>
          <w:color w:val="222222"/>
          <w:sz w:val="24"/>
          <w:szCs w:val="24"/>
          <w:shd w:val="clear" w:color="auto" w:fill="ffffff"/>
        </w:rPr>
        <w:t xml:space="preserve">, R., </w:t>
      </w:r>
      <w:r>
        <w:rPr>
          <w:rFonts w:ascii="Times New Roman" w:cs="Times New Roman" w:hAnsi="Times New Roman"/>
          <w:color w:val="222222"/>
          <w:sz w:val="24"/>
          <w:szCs w:val="24"/>
          <w:shd w:val="clear" w:color="auto" w:fill="ffffff"/>
        </w:rPr>
        <w:t>Almasi-Hashiani</w:t>
      </w:r>
      <w:r>
        <w:rPr>
          <w:rFonts w:ascii="Times New Roman" w:cs="Times New Roman" w:hAnsi="Times New Roman"/>
          <w:color w:val="222222"/>
          <w:sz w:val="24"/>
          <w:szCs w:val="24"/>
          <w:shd w:val="clear" w:color="auto" w:fill="ffffff"/>
        </w:rPr>
        <w:t xml:space="preserve">, A., &amp; </w:t>
      </w:r>
      <w:r>
        <w:rPr>
          <w:rFonts w:ascii="Times New Roman" w:cs="Times New Roman" w:hAnsi="Times New Roman"/>
          <w:color w:val="222222"/>
          <w:sz w:val="24"/>
          <w:szCs w:val="24"/>
          <w:shd w:val="clear" w:color="auto" w:fill="ffffff"/>
        </w:rPr>
        <w:t>Amini</w:t>
      </w:r>
      <w:r>
        <w:rPr>
          <w:rFonts w:ascii="Times New Roman" w:cs="Times New Roman" w:hAnsi="Times New Roman"/>
          <w:color w:val="222222"/>
          <w:sz w:val="24"/>
          <w:szCs w:val="24"/>
          <w:shd w:val="clear" w:color="auto" w:fill="ffffff"/>
        </w:rPr>
        <w:t xml:space="preserve">, P. (2019). The effect of </w:t>
      </w:r>
      <w:r>
        <w:rPr>
          <w:rFonts w:ascii="Times New Roman" w:cs="Times New Roman" w:hAnsi="Times New Roman"/>
          <w:color w:val="222222"/>
          <w:sz w:val="24"/>
          <w:szCs w:val="24"/>
          <w:shd w:val="clear" w:color="auto" w:fill="ffffff"/>
        </w:rPr>
        <w:t>prepregnancy</w:t>
      </w:r>
      <w:r>
        <w:rPr>
          <w:rFonts w:ascii="Times New Roman" w:cs="Times New Roman" w:hAnsi="Times New Roman"/>
          <w:color w:val="222222"/>
          <w:sz w:val="24"/>
          <w:szCs w:val="24"/>
          <w:shd w:val="clear" w:color="auto" w:fill="ffffff"/>
        </w:rPr>
        <w:t xml:space="preserve"> body mass index on birth weight, preterm birth, cesarean section, an</w:t>
      </w:r>
      <w:bookmarkStart w:id="0" w:name="_GoBack"/>
      <w:bookmarkEnd w:id="0"/>
      <w:r>
        <w:rPr>
          <w:rFonts w:ascii="Times New Roman" w:cs="Times New Roman" w:hAnsi="Times New Roman"/>
          <w:color w:val="222222"/>
          <w:sz w:val="24"/>
          <w:szCs w:val="24"/>
          <w:shd w:val="clear" w:color="auto" w:fill="ffffff"/>
        </w:rPr>
        <w:t>d preeclampsia in pregnant women. </w:t>
      </w:r>
      <w:r>
        <w:rPr>
          <w:rFonts w:ascii="Times New Roman" w:cs="Times New Roman" w:hAnsi="Times New Roman"/>
          <w:i/>
          <w:iCs/>
          <w:color w:val="222222"/>
          <w:sz w:val="24"/>
          <w:szCs w:val="24"/>
          <w:shd w:val="clear" w:color="auto" w:fill="ffffff"/>
        </w:rPr>
        <w:t>The journal of maternal-fetal &amp; neonatal medicine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32</w:t>
      </w:r>
      <w:r>
        <w:rPr>
          <w:rFonts w:ascii="Times New Roman" w:cs="Times New Roman" w:hAnsi="Times New Roman"/>
          <w:color w:val="222222"/>
          <w:sz w:val="24"/>
          <w:szCs w:val="24"/>
          <w:shd w:val="clear" w:color="auto" w:fill="ffffff"/>
        </w:rPr>
        <w:t>(22), 3818-3823.</w:t>
      </w:r>
    </w:p>
    <w:sectPr>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C98A3C7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9C0A9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F8127970"/>
    <w:lvl w:ilvl="0" w:tplc="B2FCD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3"/>
    <w:multiLevelType w:val="multilevel"/>
    <w:tmpl w:val="320C3EF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multilevel"/>
    <w:tmpl w:val="76CCE78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multilevel"/>
    <w:tmpl w:val="069E21B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630</Words>
  <Pages>4</Pages>
  <Characters>3349</Characters>
  <Application>WPS Office</Application>
  <DocSecurity>0</DocSecurity>
  <Paragraphs>35</Paragraphs>
  <ScaleCrop>false</ScaleCrop>
  <Company>Microsoft</Company>
  <LinksUpToDate>false</LinksUpToDate>
  <CharactersWithSpaces>3967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2020-09-09T18:47:27Z</dcterms:created>
  <dc:creator>Mellisa World Tech</dc:creator>
  <lastModifiedBy>STK-L21</lastModifiedBy>
  <dcterms:modified xsi:type="dcterms:W3CDTF">2020-09-09T18:47:27Z</dcterms:modified>
  <revision>96</revision>
</coreProperties>
</file>

<file path=docProps/custom.xml><?xml version="1.0" encoding="utf-8"?>
<Properties xmlns="http://schemas.openxmlformats.org/officeDocument/2006/custom-properties" xmlns:vt="http://schemas.openxmlformats.org/officeDocument/2006/docPropsVTypes"/>
</file>